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tabs>
          <w:tab w:val="left" w:pos="0"/>
          <w:tab w:val="clear" w:pos="567"/>
        </w:tabs>
        <w:kinsoku/>
        <w:wordWrap/>
        <w:topLinePunct w:val="0"/>
        <w:bidi w:val="0"/>
        <w:spacing w:before="57" w:after="57"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/>
        </w:rPr>
      </w:pPr>
      <w:bookmarkStart w:id="0" w:name="_Toc25838"/>
      <w:r>
        <w:rPr>
          <w:rFonts w:hint="default" w:ascii="Arial" w:hAnsi="Arial" w:cs="Arial"/>
          <w:sz w:val="22"/>
          <w:szCs w:val="22"/>
          <w:lang w:val="el-GR"/>
        </w:rPr>
        <w:t>Υπόδειγμα Οικονομικής Προσφοράς (Προσαρμοσμένο από την Αναθέτουσα Αρχή)</w:t>
      </w:r>
      <w:bookmarkEnd w:id="0"/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ΕΝΤΥΠΟ ΟΙΚΟΝΟΜΙΚΗΣ ΠΡΟΣΦΟΡΑΣ 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highlight w:val="none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>
        <w:rPr>
          <w:rFonts w:hint="default" w:ascii="Arial" w:hAnsi="Arial" w:cs="Arial"/>
          <w:sz w:val="22"/>
          <w:szCs w:val="22"/>
          <w:lang w:val="en-US" w:eastAsia="el-GR"/>
        </w:rPr>
        <w:t>/</w:t>
      </w:r>
      <w:r>
        <w:rPr>
          <w:rFonts w:hint="default" w:ascii="Arial" w:hAnsi="Arial" w:cs="Arial"/>
          <w:sz w:val="22"/>
          <w:szCs w:val="22"/>
          <w:lang w:val="el-GR" w:eastAsia="el-GR"/>
        </w:rPr>
        <w:t>Π.Ε. Φθιώτιδας (Αριθ. Διακήρυξης: ………………..) με τίτλο</w:t>
      </w:r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 xml:space="preserve">: </w:t>
      </w:r>
      <w:r>
        <w:rPr>
          <w:rFonts w:hint="default" w:ascii="Arial" w:hAnsi="Arial" w:cs="Arial"/>
          <w:b/>
          <w:sz w:val="22"/>
          <w:szCs w:val="22"/>
          <w:highlight w:val="none"/>
          <w:lang w:val="el-GR" w:eastAsia="el-GR"/>
        </w:rPr>
        <w:t>«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>Π</w:t>
      </w:r>
      <w:r>
        <w:rPr>
          <w:rFonts w:ascii="Arial" w:hAnsi="Arial" w:cs="Arial"/>
          <w:b/>
          <w:sz w:val="22"/>
          <w:szCs w:val="22"/>
          <w:lang w:val="el-GR"/>
        </w:rPr>
        <w:t xml:space="preserve">ρομήθεια ανταλλακτικών, ελαστικών, φίλτρων και μπαταριών για την </w:t>
      </w:r>
      <w:r>
        <w:rPr>
          <w:rFonts w:ascii="Arial" w:hAnsi="Arial" w:cs="Arial"/>
          <w:b/>
          <w:sz w:val="22"/>
          <w:szCs w:val="22"/>
        </w:rPr>
        <w:t xml:space="preserve">επισκευή </w:t>
      </w:r>
      <w:r>
        <w:rPr>
          <w:rFonts w:ascii="Arial" w:hAnsi="Arial" w:cs="Arial"/>
          <w:b/>
          <w:sz w:val="22"/>
          <w:szCs w:val="22"/>
          <w:lang w:val="el-GR"/>
        </w:rPr>
        <w:t xml:space="preserve">- </w:t>
      </w:r>
      <w:r>
        <w:rPr>
          <w:rFonts w:ascii="Arial" w:hAnsi="Arial" w:cs="Arial"/>
          <w:b/>
          <w:sz w:val="22"/>
          <w:szCs w:val="22"/>
        </w:rPr>
        <w:t>συντήρηση</w:t>
      </w:r>
      <w:r>
        <w:rPr>
          <w:rFonts w:ascii="Arial" w:hAnsi="Arial" w:cs="Arial"/>
          <w:b/>
          <w:sz w:val="22"/>
          <w:szCs w:val="22"/>
          <w:lang w:val="el-GR"/>
        </w:rPr>
        <w:t xml:space="preserve"> των </w:t>
      </w:r>
      <w:r>
        <w:rPr>
          <w:rFonts w:ascii="Arial" w:hAnsi="Arial" w:cs="Arial"/>
          <w:b w:val="0"/>
          <w:bCs/>
          <w:sz w:val="22"/>
          <w:szCs w:val="22"/>
        </w:rPr>
        <w:t>μ</w:t>
      </w:r>
      <w:r>
        <w:rPr>
          <w:rFonts w:ascii="Arial" w:hAnsi="Arial" w:cs="Arial"/>
          <w:b/>
          <w:bCs w:val="0"/>
          <w:sz w:val="22"/>
          <w:szCs w:val="22"/>
        </w:rPr>
        <w:t>ηχανημάτων</w:t>
      </w:r>
      <w:r>
        <w:rPr>
          <w:rFonts w:ascii="Arial" w:hAnsi="Arial" w:cs="Arial"/>
          <w:b/>
          <w:bCs w:val="0"/>
          <w:sz w:val="22"/>
          <w:szCs w:val="22"/>
          <w:lang w:val="el-GR"/>
        </w:rPr>
        <w:t xml:space="preserve"> έργου, φορτηγών και οχημάτων της Π.Ε. </w:t>
      </w:r>
      <w:r>
        <w:rPr>
          <w:rFonts w:ascii="Arial" w:hAnsi="Arial" w:cs="Arial"/>
          <w:b/>
          <w:sz w:val="22"/>
          <w:szCs w:val="22"/>
          <w:lang w:val="el-GR"/>
        </w:rPr>
        <w:t>Φθιώτιδας</w:t>
      </w:r>
      <w:r>
        <w:rPr>
          <w:rFonts w:hint="default" w:ascii="Arial" w:hAnsi="Arial" w:cs="Arial"/>
          <w:b/>
          <w:sz w:val="22"/>
          <w:szCs w:val="22"/>
          <w:highlight w:val="none"/>
        </w:rPr>
        <w:t>»</w:t>
      </w:r>
      <w:r>
        <w:rPr>
          <w:rFonts w:hint="default" w:ascii="Arial" w:hAnsi="Arial" w:cs="Arial"/>
          <w:b/>
          <w:sz w:val="22"/>
          <w:szCs w:val="22"/>
          <w:highlight w:val="none"/>
          <w:lang w:val="el-GR"/>
        </w:rPr>
        <w:t>.</w:t>
      </w: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Style w:val="5"/>
        <w:tblpPr w:leftFromText="180" w:rightFromText="180" w:vertAnchor="text" w:horzAnchor="page" w:tblpXSpec="center" w:tblpY="248"/>
        <w:tblW w:w="10643" w:type="dxa"/>
        <w:jc w:val="center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3288"/>
        <w:gridCol w:w="2925"/>
        <w:gridCol w:w="1170"/>
        <w:gridCol w:w="1268"/>
        <w:gridCol w:w="1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n-US"/>
              </w:rPr>
              <w:t>A/A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</w:rPr>
              <w:t>ΕΙΔΟΣ ΠΡΟΜΗΘΕΙΑΣ</w:t>
            </w: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 xml:space="preserve"> - ΕΡΓΑΣΙΑΣ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ΤΙΜΗ ΜΟΝΑΔΑΣ ΜΕΤΡΗΣΗΣ ΓΙΑ ΩΡΑ ΕΡΓΑΣΙΑΣ/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Αξία ανταλακτικών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(Χωρίς ΦΠΑ)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440" w:firstLineChars="20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>(με στρογγυλοποίηση)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ΔΑΠΑΝΗ ΧΩΡΙΣ ΦΠΑ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331" w:firstLineChars="150"/>
              <w:jc w:val="both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ΔΑΠΑΝΗ        ΜΕ ΦΠΑ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400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ΠΟΣΟΣΤΟ ΕΚΤΩΣΗΣ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1714" w:firstLineChars="776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((%)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0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1: ΠΑΡΟΧΗ ΥΠΗΡΕΣΙΩΝ ΣΥΝΤΗΡΗΣΗΣ ΚΑΙ ΠΡΟΜΗΘΕΙΑΣ ΑΝΤΑΛΛΑΚΤΙΚΩΝ ΓΙΑ ΜΗΧΑΝΗΜΑΤΑ ΕΡΓΟΥ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Προμήθεια ανταλλακτικών για μηχανήματα έργου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 Επισκευή  και  συντήρηση -  Μηχ/των  Έργου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bidi w:val="0"/>
              <w:spacing w:before="0" w:after="200" w:line="276" w:lineRule="auto"/>
              <w:jc w:val="left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2</w:t>
            </w:r>
          </w:p>
        </w:tc>
        <w:tc>
          <w:tcPr>
            <w:tcW w:w="10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Lines w:val="0"/>
              <w:bidi w:val="0"/>
              <w:spacing w:before="0" w:beforeAutospacing="0" w:after="200" w:line="24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 xml:space="preserve">ΤΜΗΜΑ  2: ΠΑΡΟΧΗ ΥΠΗΡΕΣΙΩΝ ΣΥΝΤΗΡΗΣΗΣ ΚΑΙ ΠΡΟΜΗΘΕΙΑΣ ΑΝΤΑΛΛΑΚΤΙΚΩΝ ΓΙΑ ΦΟΡΤΗΓΑ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φορτηγά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171" w:beforeAutospacing="0" w:after="171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Επισκευή  και  συντήρηση -  Φορτηγών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right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both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both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3</w:t>
            </w:r>
          </w:p>
        </w:tc>
        <w:tc>
          <w:tcPr>
            <w:tcW w:w="10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3: ΠΡΟΜΗΘΕΙΑ ΑΝΤΑΛΛΑΚΤΙΚΩΝ ΓΙΑ ΑΛΑΤΙΕΡΕΣ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αλατιέρες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4</w:t>
            </w:r>
          </w:p>
        </w:tc>
        <w:tc>
          <w:tcPr>
            <w:tcW w:w="10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4: ΠΑΡΟΧΗ ΥΠΗΡΕΣΙΩΝ ΣΥΝΤΗΡΗΣΗΣ ΚΑΙ ΠΡΟΜΗΘΕΙΑΣ ΑΝΤΑΛΛΑΚΤΙΚΩΝ           ΓΙΑ  ΗΛΕΚΤΡΟΛΟΓΙΚΕΣ ΥΠΗΡΕΣΙΕΣ ΣΕ ΜΗΧΑΝΗΜΑΤΑ ΕΡΓΟΥ ΚΑΙ ΦΟΡΤΗΓΑ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 Προμήθεια ανταλλακτικών για  Ηλεκτρολόγο σε φορτηγά, μηχ. έργου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bidi w:val="0"/>
              <w:spacing w:before="0" w:after="200" w:line="276" w:lineRule="auto"/>
              <w:jc w:val="left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 xml:space="preserve">Επισκευή ρύθμιση και συντήρηση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 – Ηλεκτρικών συστημάτω</w:t>
            </w: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 xml:space="preserve">ν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φορτηγών, μηχανημάτων έργων και αλατιέρες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both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5</w:t>
            </w:r>
          </w:p>
        </w:tc>
        <w:tc>
          <w:tcPr>
            <w:tcW w:w="10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5: ΠΑΡΟΧΗ ΥΠΗΡΕΣΙΩΝ ΣΥΝΤΗΡΗΣΗΣ ΚΑΙ ΠΡΟΜΗΘΕΙΑΣ ΑΝΤΑΛΛΑΚΤΙΚΩΝ   ΓΙΑ ΕΞΑΤΜΙΣΕΙΣ ΣΕ ΜΗΧΑΝΗΜΑΤΑ ΕΡΓΟΥ ΚΑΙ ΦΟΡΤΗΓΑ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 xml:space="preserve">ΤΜΗΜΑ 5: </w:t>
            </w: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 εξατμίσεων για Μηχανήματα Έργου και Φορτηγά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εξατμίσεων  για Μηχανήματα Έργου και Φορτηγά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</w:tbl>
    <w:tbl>
      <w:tblPr>
        <w:tblStyle w:val="5"/>
        <w:tblpPr w:leftFromText="180" w:rightFromText="180" w:vertAnchor="text" w:horzAnchor="page" w:tblpX="752" w:tblpY="1576"/>
        <w:tblOverlap w:val="never"/>
        <w:tblW w:w="10604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8"/>
        <w:gridCol w:w="2971"/>
        <w:gridCol w:w="1184"/>
        <w:gridCol w:w="1864"/>
        <w:gridCol w:w="1122"/>
        <w:gridCol w:w="1400"/>
        <w:gridCol w:w="1175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55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lang w:val="el-GR"/>
              </w:rPr>
            </w:pPr>
            <w:bookmarkStart w:id="1" w:name="_GoBack"/>
            <w:bookmarkEnd w:id="1"/>
          </w:p>
          <w:p>
            <w:pPr>
              <w:pStyle w:val="2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pStyle w:val="2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pStyle w:val="2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pStyle w:val="2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6</w:t>
            </w:r>
          </w:p>
        </w:tc>
        <w:tc>
          <w:tcPr>
            <w:tcW w:w="9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6: ΠΑΡΟΧΗ ΥΠΗΡΕΣΙΩΝ ΣΥΝΤΗΡΗΣΗΣ ΚΑΙ ΠΡΟΜΗΘΕΙΑΣ ΑΝΤΑΛΛΑΚΤΙΚΩΝ ΓΙΑ ΑΝΤΛΙΕΣ ΠΕΤΡΕΛΑΙΟΥ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2" w:hRule="atLeast"/>
        </w:trPr>
        <w:tc>
          <w:tcPr>
            <w:tcW w:w="88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 Προμήθεια ανταλλακτικών  αντλιών πετρελαίου για Μηχανήματα Έργου και Φορτηγά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 αντλιών πετρελαίου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7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7: ΠΑΡΟΧΗ ΥΠΗΡΕΣΙΩΝ ΣΥΝΤΗΡΗΣΗΣ ΚΑΙ ΠΡΟΜΗΘΕΙΑΣ ΑΝΤΑΛΛΑΚΤΙΚΩΝ ΓΙΑ  ΥΠΗΡΕΣΙΕΣ ΜΗΧΑΝΟΥΡΓΕΙΟΥ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 μηχανουργείο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μηχανουργείο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8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8:ΠΑΡΟΧΗ ΥΠΗΡΕΣΙΩΝ ΣΥΝΤΗΡΗΣΗΣ ΚΑΙ ΠΡΟΜΗΘΕΙΑΣ ΑΝΤΑΛΛΑΚΤΙΚΩΝ           ΓΙΑ ΣΥΣΤΗΜΑΤΑ ΑΝΑΡΤΗΣΕΩΝ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τη συντήρηση  συστημάτων ανάρτησης 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σουστών, αποσβεστήρων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9</w:t>
            </w:r>
          </w:p>
        </w:tc>
        <w:tc>
          <w:tcPr>
            <w:tcW w:w="9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9: ΠΡΟΜΗΘΕΙΑ ΑΝΤΑΛΛΑΚΤΙΚΩΝ ΓΙΑ ΥΔΡΑΥΛΙΚΑ ΣΥΣΤΗΜΑΤΑ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υδραυλικά συστήματα  για Μηχανήματα Έργου και Φορτηγά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10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10: ΠΑΡΟΧΗ ΥΠΗΡΕΣΙΩΝ ΣΥΝΤΗΡΗΣΗΣ ΚΑΙ ΠΡΟΜΗΘΕΙΑΣ ΑΝΤΑΛΛΑΚΤΙΚΩΝ           ΓΙΑ ΦΡΕΝΑ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Πρ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ομήθεια ανταλλακτικών  για φρένα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3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 και  συντήρηση  φρένων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11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11:  ΠΡΟΜΗΘΕΙΑ ΕΛΑΣΤΙΚΩΝ  ΓΙΑ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Προμήθεια ελαστικών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ελαστικών</w:t>
            </w: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12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12:  ΠΡΟΜΗΘΕΙΑ ΦΙΛΤΡΩΝ  ΓΙΑ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Προμήθεια φίλτρων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φίλτρων</w:t>
            </w: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2"/>
                <w:szCs w:val="22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13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13:  ΠΡΟΜΗΘΕΙΑ  ΜΠΑΤΑΡΙΩΝ  ΓΙΑ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 Προμήθεια μπαταρίες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 μπαταριών</w:t>
            </w: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14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14:ΠΑΡΟΧΗ ΥΠΗΡΕΣΙΩΝ ΣΥΝΤΗΡΗΣΗΣ ΚΑΙ ΠΡΟΜΗΘΕΙΑΣ ΑΝΤΑΛΛΑΚΤΙΚΩΝ           ΓΙΑ  ΣΥΝΤΗΡΗΣΗ  ΕΠΙΒΑΤΙΚΩΝ ΟΧΗΜΑΤΩΝ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οχήματα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11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40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Επισκευή  και  συντήρηση -  οχημάτων 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20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15</w:t>
            </w:r>
          </w:p>
        </w:tc>
        <w:tc>
          <w:tcPr>
            <w:tcW w:w="971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15:ΠΑΡΟΧΗ ΥΠΗΡΕΣΙΩΝ ΣΥΝΤΗΡΗΣΗΣ ΚΑΙ ΠΡΟΜΗΘΕΙΑΣ ΑΝΤΑΛΛΑΚΤΙΚΩΝ           ΓΙΑ  ΗΛΕΚΤΡΟΛΟΓΙΚΕΣ ΥΠΗΡΕΣΙΕΣ ΣΕ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 xml:space="preserve">Ανταλλακτικά για </w:t>
            </w: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 xml:space="preserve">ρύθμιση και συντήρηση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 Ηλεκτρικών συστημάτων οχημάτων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Εργασία για  Ηλεκτρολόγο σε οχήματα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Lines w:val="0"/>
              <w:bidi w:val="0"/>
              <w:spacing w:before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16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16:ΠΑΡΟΧΗ ΥΠΗΡΕΣΙΩΝ ΣΥΝΤΗΡΗΣΗΣ ΕΠΙΣΚΕΥΗΣ ΕΛΑΣΤΙΚΩΝ ΣΕ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 xml:space="preserve"> Επισκευή ελαστικών για επιβατικά οχήματα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6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</w:pPr>
          </w:p>
        </w:tc>
        <w:tc>
          <w:tcPr>
            <w:tcW w:w="11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17</w:t>
            </w:r>
          </w:p>
        </w:tc>
        <w:tc>
          <w:tcPr>
            <w:tcW w:w="971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17:ΠΡΟΜΗΘΕΙΑ ΕΛΑΣΤΙΚΩΝ ΓΙΑ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Ελαστικών για   Επιβατικά Οχήματα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  Ελαστικών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</w:pPr>
          </w:p>
        </w:tc>
        <w:tc>
          <w:tcPr>
            <w:tcW w:w="11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18</w:t>
            </w:r>
          </w:p>
        </w:tc>
        <w:tc>
          <w:tcPr>
            <w:tcW w:w="9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 18:ΠΡΟΜΗΘΕΙΑ  ΜΠΑΤΑΡΙΩΝ  ΓΙΑ ΕΠΙΒΑΤΙΚΑ ΟΧΗΜΑΤΑ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</w:pPr>
          </w:p>
        </w:tc>
        <w:tc>
          <w:tcPr>
            <w:tcW w:w="297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μπαταρίες για Οχήματα</w:t>
            </w:r>
          </w:p>
        </w:tc>
        <w:tc>
          <w:tcPr>
            <w:tcW w:w="3048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μπαταριών</w:t>
            </w:r>
          </w:p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</w:pPr>
          </w:p>
        </w:tc>
        <w:tc>
          <w:tcPr>
            <w:tcW w:w="11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>
      <w:pPr>
        <w:pStyle w:val="2"/>
        <w:rPr>
          <w:rFonts w:hint="default" w:ascii="Arial" w:hAnsi="Arial" w:cs="Arial"/>
          <w:sz w:val="22"/>
          <w:szCs w:val="22"/>
          <w:lang w:val="el-GR"/>
        </w:rPr>
      </w:pPr>
    </w:p>
    <w:p>
      <w:pPr>
        <w:keepLines w:val="0"/>
        <w:kinsoku/>
        <w:wordWrap/>
        <w:topLinePunct w:val="0"/>
        <w:bidi w:val="0"/>
        <w:spacing w:line="24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pStyle w:val="7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Η προσφορά ισχύει για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έξι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</w:t>
      </w:r>
      <w:r>
        <w:rPr>
          <w:rFonts w:hint="default" w:ascii="Arial" w:hAnsi="Arial" w:cs="Arial"/>
          <w:b/>
          <w:sz w:val="22"/>
          <w:szCs w:val="22"/>
          <w:lang w:val="el-GR"/>
        </w:rPr>
        <w:t>6</w:t>
      </w:r>
      <w:r>
        <w:rPr>
          <w:rFonts w:hint="default" w:ascii="Arial" w:hAnsi="Arial" w:cs="Arial"/>
          <w:b/>
          <w:sz w:val="22"/>
          <w:szCs w:val="22"/>
        </w:rPr>
        <w:t>) μήνες</w:t>
      </w:r>
      <w:r>
        <w:rPr>
          <w:rFonts w:hint="default"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 xml:space="preserve"> …………/……./ 20</w:t>
      </w:r>
      <w:r>
        <w:rPr>
          <w:rFonts w:hint="default" w:ascii="Arial" w:hAnsi="Arial" w:cs="Arial"/>
          <w:b/>
          <w:bCs/>
          <w:sz w:val="22"/>
          <w:szCs w:val="22"/>
          <w:lang w:val="en-US" w:eastAsia="el-GR"/>
        </w:rPr>
        <w:t>21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Ο ΠΡΟΣΦΕΡΩΝ</w:t>
      </w: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............................................................................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i/>
          <w:iCs/>
          <w:sz w:val="22"/>
          <w:szCs w:val="22"/>
          <w:lang w:val="el-GR" w:eastAsia="el-GR"/>
        </w:rPr>
      </w:pPr>
      <w:r>
        <w:rPr>
          <w:rFonts w:hint="default" w:ascii="Arial" w:hAnsi="Arial" w:cs="Arial"/>
          <w:i/>
          <w:iCs/>
          <w:sz w:val="22"/>
          <w:szCs w:val="22"/>
          <w:lang w:val="el-GR" w:eastAsia="el-GR"/>
        </w:rPr>
        <w:t>(Υπογραφή και Σφραγίδα Προμηθευτή)</w:t>
      </w:r>
    </w:p>
    <w:p>
      <w:pPr>
        <w:keepLines w:val="0"/>
        <w:kinsoku/>
        <w:wordWrap/>
        <w:topLinePunct w:val="0"/>
        <w:bidi w:val="0"/>
        <w:spacing w:before="57" w:after="57"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erif">
    <w:altName w:val="Times New Roman"/>
    <w:panose1 w:val="00000000000000000000"/>
    <w:charset w:val="A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177C"/>
    <w:rsid w:val="02D07ECE"/>
    <w:rsid w:val="308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SimSun" w:cs="Calibri"/>
      <w:sz w:val="22"/>
      <w:szCs w:val="24"/>
      <w:lang w:val="en-GB" w:eastAsia="ar-SA" w:bidi="ar-SA"/>
    </w:rPr>
  </w:style>
  <w:style w:type="paragraph" w:styleId="3">
    <w:name w:val="heading 2"/>
    <w:basedOn w:val="1"/>
    <w:next w:val="1"/>
    <w:qFormat/>
    <w:uiPriority w:val="9"/>
    <w:pPr>
      <w:pageBreakBefore w:val="0"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8" w:space="1"/>
        <w:right w:val="none" w:color="auto" w:sz="0" w:space="0"/>
      </w:pBdr>
      <w:tabs>
        <w:tab w:val="left" w:pos="567"/>
      </w:tabs>
      <w:spacing w:before="240" w:after="80"/>
      <w:ind w:left="567" w:right="0" w:hanging="567"/>
      <w:outlineLvl w:val="1"/>
    </w:pPr>
    <w:rPr>
      <w:color w:val="002060"/>
      <w:sz w:val="24"/>
      <w:szCs w:val="22"/>
      <w:lang w:val="en-GB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customStyle="1" w:styleId="6">
    <w:name w:val="Περιεχόμενα πίνακα"/>
    <w:basedOn w:val="1"/>
    <w:qFormat/>
    <w:uiPriority w:val="0"/>
    <w:pPr>
      <w:suppressLineNumbers/>
    </w:pPr>
  </w:style>
  <w:style w:type="paragraph" w:customStyle="1" w:styleId="7">
    <w:name w:val="Στυλ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2021-11-30T14:32:00Z</dcterms:created>
  <dc:creator>v.palaiologou</dc:creator>
  <cp:lastModifiedBy>v.palaiologou</cp:lastModifiedBy>
  <dcterms:modified xsi:type="dcterms:W3CDTF">2021-11-30T14:33:42Z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