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lang w:val="el-GR"/>
        </w:rPr>
      </w:pPr>
      <w:bookmarkStart w:id="0" w:name="_Toc40438453"/>
      <w:r>
        <w:rPr>
          <w:lang w:val="el-GR"/>
        </w:rPr>
        <w:t xml:space="preserve">                       Τεχνική Προσφορά</w:t>
      </w:r>
      <w:bookmarkEnd w:id="0"/>
      <w:bookmarkStart w:id="2" w:name="_GoBack"/>
      <w:bookmarkEnd w:id="2"/>
    </w:p>
    <w:p>
      <w:pPr>
        <w:pStyle w:val="4"/>
        <w:jc w:val="center"/>
        <w:rPr>
          <w:rFonts w:ascii="Calibri" w:hAnsi="Calibri" w:cs="Adobe Arabic"/>
          <w:sz w:val="44"/>
          <w:szCs w:val="44"/>
          <w:vertAlign w:val="superscript"/>
          <w:lang w:val="el-GR"/>
        </w:rPr>
      </w:pPr>
      <w:bookmarkStart w:id="1" w:name="_Toc478541020"/>
      <w:r>
        <w:rPr>
          <w:rFonts w:ascii="Calibri" w:hAnsi="Calibri" w:cs="Adobe Arabic"/>
          <w:sz w:val="44"/>
          <w:szCs w:val="44"/>
          <w:vertAlign w:val="superscript"/>
          <w:lang w:val="el-GR"/>
        </w:rPr>
        <w:t>ΥΠΕΥΘΥΝΗ ΔΗΛΩΣΗ (άρθρο 8 Ν.1599/1986)</w:t>
      </w:r>
      <w:bookmarkEnd w:id="1"/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6"/>
        </w:pBdr>
        <w:spacing w:after="0"/>
        <w:ind w:right="482"/>
        <w:jc w:val="center"/>
        <w:rPr>
          <w:rFonts w:cs="Adobe Arabic"/>
          <w:sz w:val="14"/>
          <w:szCs w:val="14"/>
          <w:lang w:val="el-GR"/>
        </w:rPr>
      </w:pPr>
      <w:r>
        <w:rPr>
          <w:rFonts w:cs="Adobe Arabic"/>
          <w:sz w:val="14"/>
          <w:szCs w:val="14"/>
          <w:lang w:val="el-GR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Ν. 1599/1986) </w:t>
      </w:r>
    </w:p>
    <w:tbl>
      <w:tblPr>
        <w:tblStyle w:val="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635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ΠΡΟΣ</w:t>
            </w:r>
            <w:r>
              <w:rPr>
                <w:rFonts w:ascii="Arial Narrow" w:hAnsi="Arial Narrow" w:cs="Adobe Arabic"/>
                <w:sz w:val="18"/>
                <w:szCs w:val="18"/>
                <w:vertAlign w:val="superscript"/>
              </w:rPr>
              <w:t>(1)</w:t>
            </w:r>
            <w:r>
              <w:rPr>
                <w:rFonts w:ascii="Arial Narrow" w:hAnsi="Arial Narrow" w:cs="Adobe Arabic"/>
                <w:sz w:val="18"/>
                <w:szCs w:val="18"/>
              </w:rPr>
              <w:t>:</w:t>
            </w:r>
          </w:p>
        </w:tc>
        <w:tc>
          <w:tcPr>
            <w:tcW w:w="83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b/>
                <w:sz w:val="18"/>
                <w:szCs w:val="18"/>
                <w:lang w:val="el-GR"/>
              </w:rPr>
            </w:pPr>
            <w:r>
              <w:rPr>
                <w:rFonts w:ascii="Arial Narrow" w:hAnsi="Arial Narrow" w:cs="Adobe Arabic"/>
                <w:b/>
                <w:sz w:val="18"/>
                <w:szCs w:val="18"/>
                <w:lang w:val="el-GR"/>
              </w:rPr>
              <w:t>ΑΝΑΘΕΤΟΥΣΑ ΑΡΧΗ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Επώνυμο: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2332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Ημερομηνία γέννησης</w:t>
            </w:r>
            <w:r>
              <w:rPr>
                <w:rFonts w:ascii="Arial Narrow" w:hAnsi="Arial Narrow" w:cs="Adobe Arabic"/>
                <w:sz w:val="18"/>
                <w:szCs w:val="18"/>
                <w:vertAlign w:val="superscript"/>
              </w:rPr>
              <w:t>(2)</w:t>
            </w:r>
            <w:r>
              <w:rPr>
                <w:rFonts w:ascii="Arial Narrow" w:hAnsi="Arial Narrow" w:cs="Adobe Arabic"/>
                <w:sz w:val="18"/>
                <w:szCs w:val="18"/>
              </w:rPr>
              <w:t xml:space="preserve">: </w:t>
            </w:r>
          </w:p>
        </w:tc>
        <w:tc>
          <w:tcPr>
            <w:tcW w:w="7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2332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Τόπος Γέννησης:</w:t>
            </w:r>
          </w:p>
        </w:tc>
        <w:tc>
          <w:tcPr>
            <w:tcW w:w="7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Τηλ: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Αριθ: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ΤΚ: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Αρ. Τηλεομοιοτύπου (</w:t>
            </w:r>
            <w:r>
              <w:rPr>
                <w:rFonts w:ascii="Arial Narrow" w:hAnsi="Arial Narrow" w:cs="Adobe Arabic"/>
                <w:sz w:val="18"/>
                <w:szCs w:val="18"/>
                <w:lang w:val="en-US"/>
              </w:rPr>
              <w:t>Fax</w:t>
            </w:r>
            <w:r>
              <w:rPr>
                <w:rFonts w:ascii="Arial Narrow" w:hAnsi="Arial Narrow" w:cs="Adobe Arabic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 Narrow" w:hAnsi="Arial Narrow" w:cs="Adobe Arabic"/>
                <w:sz w:val="18"/>
                <w:szCs w:val="18"/>
                <w:lang w:val="el-GR"/>
              </w:rPr>
            </w:pPr>
            <w:r>
              <w:rPr>
                <w:rFonts w:ascii="Arial Narrow" w:hAnsi="Arial Narrow" w:cs="Adobe Arabic"/>
                <w:sz w:val="18"/>
                <w:szCs w:val="18"/>
                <w:lang w:val="el-GR"/>
              </w:rPr>
              <w:t>Δ/νση Ηλεκτρ. Ταχυδρομείου (Ε</w:t>
            </w:r>
            <w:r>
              <w:rPr>
                <w:rFonts w:ascii="Arial Narrow" w:hAnsi="Arial Narrow" w:cs="Adobe Arabic"/>
                <w:sz w:val="18"/>
                <w:szCs w:val="18"/>
                <w:lang w:val="en-US"/>
              </w:rPr>
              <w:t>mail</w:t>
            </w:r>
            <w:r>
              <w:rPr>
                <w:rFonts w:ascii="Arial Narrow" w:hAnsi="Arial Narrow" w:cs="Adobe Arabic"/>
                <w:sz w:val="18"/>
                <w:szCs w:val="18"/>
                <w:lang w:val="el-GR"/>
              </w:rPr>
              <w:t>):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971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right="124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>
              <w:rPr>
                <w:rFonts w:cs="Adobe Arabic"/>
                <w:sz w:val="20"/>
                <w:szCs w:val="20"/>
                <w:vertAlign w:val="superscript"/>
                <w:lang w:val="el-GR"/>
              </w:rPr>
              <w:t>(3)</w:t>
            </w:r>
            <w:r>
              <w:rPr>
                <w:rFonts w:cs="Adobe Arabic"/>
                <w:sz w:val="20"/>
                <w:szCs w:val="20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  <w:p>
            <w:pPr>
              <w:ind w:right="124"/>
              <w:rPr>
                <w:rFonts w:cs="Adobe Arabic"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9712" w:type="dxa"/>
            <w:gridSpan w:val="15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Ότι η προσφορά συντάχθηκε σύμφωνα με τους όρους της παρούσας διακήρυξης, της οποίας έλαβα γνώση και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 Συμμετέχουν  στο Δυναμικό Σύστημα Αγορών της ΠΕ Φθιώτιδας για 3 σχολικά έτη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Έχουν </w:t>
            </w:r>
            <w:r>
              <w:rPr>
                <w:rFonts w:cs="Adobe Arabic"/>
                <w:b/>
                <w:sz w:val="20"/>
                <w:szCs w:val="20"/>
                <w:lang w:val="el-GR"/>
              </w:rPr>
              <w:t>άδεια κυκλοφορίας</w:t>
            </w:r>
            <w:r>
              <w:rPr>
                <w:rFonts w:cs="Adobe Arabic"/>
                <w:sz w:val="20"/>
                <w:szCs w:val="20"/>
                <w:lang w:val="el-GR"/>
              </w:rPr>
              <w:t xml:space="preserve"> των οχημάτων που θα χρησιμοποιηθούν για κάθε δρομολόγιο . 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Είναι κάτοχοι </w:t>
            </w:r>
            <w:r>
              <w:rPr>
                <w:b/>
                <w:lang w:val="el-GR"/>
              </w:rPr>
              <w:t>άδειας οδήγησης</w:t>
            </w:r>
            <w:r>
              <w:rPr>
                <w:lang w:val="el-GR"/>
              </w:rPr>
              <w:t xml:space="preserve">  ( και λοιπών οδηγών εφόσον δηλωθεί ότι θα χρησιμοποιηθούν), οι οποίες θα είναι σε ισχύ 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 Έχουν </w:t>
            </w:r>
            <w:r>
              <w:rPr>
                <w:rFonts w:cs="Adobe Arabic"/>
                <w:b/>
                <w:sz w:val="20"/>
                <w:szCs w:val="20"/>
                <w:lang w:val="el-GR"/>
              </w:rPr>
              <w:t>ασφαλιστήρια συμβόλαια</w:t>
            </w:r>
            <w:r>
              <w:rPr>
                <w:rFonts w:cs="Adobe Arabic"/>
                <w:sz w:val="20"/>
                <w:szCs w:val="20"/>
                <w:lang w:val="el-GR"/>
              </w:rPr>
              <w:t xml:space="preserve"> σε ισχύ για τα οχήματα που θα χρησιμοποιηθούν για κάθε δρομολόγιο.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Έχουν </w:t>
            </w:r>
            <w:r>
              <w:rPr>
                <w:rFonts w:cs="Adobe Arabic"/>
                <w:b/>
                <w:sz w:val="20"/>
                <w:szCs w:val="20"/>
                <w:lang w:val="el-GR"/>
              </w:rPr>
              <w:t>δελτία τεχνικού ελέγχου</w:t>
            </w:r>
            <w:r>
              <w:rPr>
                <w:rFonts w:cs="Adobe Arabic"/>
                <w:sz w:val="20"/>
                <w:szCs w:val="20"/>
                <w:lang w:val="el-GR"/>
              </w:rPr>
              <w:t xml:space="preserve"> από δημόσιο ή ιδιωτικό ΚΤΕΟ για τα οχήματά τους που βρίσκονται σε ισχύ.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b/>
                <w:lang w:val="el-GR"/>
              </w:rPr>
              <w:t>Φωτοαντίγραφα Ειδικής άδειας</w:t>
            </w:r>
            <w:r>
              <w:rPr>
                <w:lang w:val="el-GR"/>
              </w:rPr>
              <w:t xml:space="preserve"> οδήγησης για τους οδηγούς των Δ.Χ. επιβατικών (ΤΑΞΙ),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b/>
                <w:lang w:val="el-GR"/>
              </w:rPr>
              <w:t>άδεια οδικού μεταφορέα</w:t>
            </w:r>
            <w:r>
              <w:rPr>
                <w:lang w:val="el-GR"/>
              </w:rPr>
              <w:t xml:space="preserve"> (λεωφορεία) εφόσον αυτή απαιτείται,  ειδική άδεια μεταφορέα για τα φυσικά πρόσωπα που συμμετέχουν στο διαγωνισμό για τη μεταφορά των μαθητών  και εφόσον ο μεταφορέας είναι Νομικό Πρόσωπο (Κοινοπραξία, Συνεταιρισμός, Α.Ε.) οφείλει να καταθέσει την «ειδική άδεια μεταφορέα» του Νομικού Προσώπου, οι οποίες θα είναι σε ισχύ.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 Λαμβάνουν κάθε μέριμνα προκειμένου διαθέτει τον κατάλληλο, αξιόπιστο από θέματα οδικής ασφάλειας  και συμμορφούμενο σύμφωνα με  κάθε είδους προβλεπόμενη κάθε φορά σε ισχύ διάταξη νόμου ή κανονιστική πράξη  αναφορικά με τον τεχνικό εξοπλισμό και τις προδιαγραφές νόμιμης κυκλοφορίας οχημάτων στην Ελληνική Επικράτεια για όλη την περίοδο της σύμβασης.</w:t>
            </w:r>
          </w:p>
          <w:p>
            <w:pPr>
              <w:ind w:right="124"/>
              <w:rPr>
                <w:rFonts w:cs="Adobe Arabic"/>
                <w:sz w:val="20"/>
                <w:szCs w:val="20"/>
                <w:lang w:val="el-GR"/>
              </w:rPr>
            </w:pP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 [</w:t>
            </w:r>
            <w:r>
              <w:rPr>
                <w:rFonts w:cs="Adobe Arabic"/>
                <w:b/>
                <w:sz w:val="20"/>
                <w:szCs w:val="20"/>
                <w:lang w:val="el-GR"/>
              </w:rPr>
              <w:t>ΕΧΕΙ / ΔΕΝ ΕΧΕΙ]</w:t>
            </w:r>
            <w:r>
              <w:rPr>
                <w:rFonts w:cs="Adobe Arabic"/>
                <w:sz w:val="20"/>
                <w:szCs w:val="20"/>
                <w:lang w:val="el-GR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>[</w:t>
            </w:r>
            <w:r>
              <w:rPr>
                <w:rFonts w:cs="Adobe Arabic"/>
                <w:b/>
                <w:sz w:val="20"/>
                <w:szCs w:val="20"/>
                <w:lang w:val="el-GR"/>
              </w:rPr>
              <w:t>ΥΠΑΡΧΟΥΝ/ ΔΕΝ ΥΠΑΡΧΟΥΝ]</w:t>
            </w:r>
            <w:r>
              <w:rPr>
                <w:rFonts w:cs="Adobe Arabic"/>
                <w:sz w:val="20"/>
                <w:szCs w:val="20"/>
                <w:lang w:val="el-GR"/>
              </w:rPr>
              <w:t xml:space="preserve"> τυχόν νομικοί περιορισμοί λειτουργίας της επιχείρησης.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>Η ΕΔΡΑ ΜΟΥ ΕΙΝΑΙ… (αφορα ΤΑΧΙ)</w:t>
            </w:r>
          </w:p>
          <w:p>
            <w:pPr>
              <w:ind w:right="124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</w:rPr>
              <w:t>iv</w:t>
            </w:r>
            <w:r>
              <w:rPr>
                <w:rFonts w:cs="Adobe Arabic"/>
                <w:sz w:val="20"/>
                <w:szCs w:val="20"/>
                <w:lang w:val="el-GR"/>
              </w:rPr>
              <w:t>) Σε περίπτωση που αναδειχτώ μειοδότης και έχω δηλώσει ότι θα χρησιμοποιήσω οδηγό/ούς, θα προσκομίσει το απόσπασμα ποινικού μητρώου για τους οδηγούς των λεωφορείων ή των Δ.Χ. επιβατικών (ΤΑΞΙ κλπ) καθώς</w:t>
            </w:r>
            <w:r>
              <w:rPr>
                <w:rFonts w:cs="Adobe Arabic"/>
                <w:sz w:val="20"/>
                <w:szCs w:val="20"/>
                <w:highlight w:val="none"/>
                <w:lang w:val="el-GR"/>
              </w:rPr>
              <w:t xml:space="preserve"> και τους συνοδούς.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9712" w:type="dxa"/>
            <w:gridSpan w:val="15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ind w:right="124"/>
              <w:rPr>
                <w:rFonts w:cs="Adobe Arabic"/>
                <w:sz w:val="20"/>
                <w:szCs w:val="20"/>
                <w:lang w:val="el-GR"/>
              </w:rPr>
            </w:pPr>
          </w:p>
        </w:tc>
      </w:tr>
    </w:tbl>
    <w:p>
      <w:pPr>
        <w:ind w:right="124"/>
        <w:rPr>
          <w:rFonts w:cs="Adobe Arabic"/>
          <w:sz w:val="20"/>
          <w:szCs w:val="20"/>
          <w:lang w:val="el-GR"/>
        </w:rPr>
      </w:pPr>
      <w:r>
        <w:rPr>
          <w:rFonts w:cs="Adobe Arabic"/>
          <w:sz w:val="20"/>
          <w:szCs w:val="20"/>
          <w:lang w:val="en-US"/>
        </w:rPr>
        <w:t>v</w:t>
      </w:r>
      <w:r>
        <w:rPr>
          <w:rFonts w:cs="Adobe Arabic"/>
          <w:sz w:val="20"/>
          <w:szCs w:val="20"/>
          <w:lang w:val="el-GR"/>
        </w:rPr>
        <w:t>) Ο αριθμός κυκλοφορίας των Λεωφορείων ή των Δ.Χ. επιβατικών (ΤΑΞΙ κλπ) που θα χρησιμοποιηθούν για την εκτέλεση του κάθε δρομολογίου, ο αριθμός των θέσεων αυτών σύμφωνα με την άδεια κυκλοφορίας έκαστου και τα ονόματα των οδηγών εφόσον χρησιμοποιηθούν, αναφέρονται στον πίνακα που ακολουθεί:</w:t>
      </w:r>
    </w:p>
    <w:tbl>
      <w:tblPr>
        <w:tblStyle w:val="8"/>
        <w:tblW w:w="9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14"/>
        <w:gridCol w:w="1076"/>
        <w:gridCol w:w="1028"/>
        <w:gridCol w:w="808"/>
        <w:gridCol w:w="60"/>
        <w:gridCol w:w="1062"/>
        <w:gridCol w:w="78"/>
        <w:gridCol w:w="1323"/>
        <w:gridCol w:w="70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712" w:type="dxa"/>
            <w:gridSpan w:val="11"/>
            <w:vAlign w:val="top"/>
          </w:tcPr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  <w:r>
              <w:rPr>
                <w:rFonts w:cs="Adobe Arabic"/>
                <w:b/>
                <w:sz w:val="24"/>
                <w:lang w:val="el-GR"/>
              </w:rPr>
              <w:t xml:space="preserve">Α1) ΠΙΝΑΚΑΣ ΟΧΗΜΑΤΩΝ ΠΟΥ ΑΝΗΚΟΥΝ ΣΤΟΝ ΟΙΚ.ΦΟΡΕΑ </w:t>
            </w:r>
          </w:p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  <w:r>
              <w:rPr>
                <w:rFonts w:cs="Adobe Arabic"/>
                <w:b/>
                <w:sz w:val="24"/>
                <w:lang w:val="el-GR"/>
              </w:rPr>
              <w:t>/ΔΙΑΘΕΣΙΜΕΣ ΘΕΣΕΙΣ/ΟΝΟΜΑΤΕΠΩΝΥΜΟ ΟΔΗΓΟΥ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ΠΕΡΙΓΡΑΦΗ ΔΡΟΜΟ-ΛΟΓΙΟΥ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ΑΡΙΘΜΟΣ ΜΕΤΑΦΕΡΟ-ΜΕΝΩΝ ΜΑΘΗΤΩΝ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ΕΙΔΟΣ ΟΧΗΜΑΤΟΣ</w:t>
            </w:r>
          </w:p>
        </w:tc>
        <w:tc>
          <w:tcPr>
            <w:tcW w:w="808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ΟΧΗΜΑ (ΑΡ. ΚΥΚΛΟ-ΦΟΡΙΑΣ)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ΟΧΗΜΑ (ΔΙΑΘΕΣΙΜΕΣ ΘΕΣΕΙΣ ΒΑΣΕΙ ΑΔΕΙΑΣ)</w:t>
            </w:r>
          </w:p>
        </w:tc>
        <w:tc>
          <w:tcPr>
            <w:tcW w:w="1401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ΣΤΟΙΧΕΙΑ ΙΔΙΟ</w:t>
            </w:r>
            <w:r>
              <w:rPr>
                <w:rFonts w:cs="Adobe Arabic"/>
                <w:sz w:val="16"/>
                <w:szCs w:val="16"/>
                <w:lang w:val="en-US"/>
              </w:rPr>
              <w:t>K</w:t>
            </w:r>
            <w:r>
              <w:rPr>
                <w:rFonts w:cs="Adobe Arabic"/>
                <w:sz w:val="16"/>
                <w:szCs w:val="16"/>
                <w:lang w:val="el-GR"/>
              </w:rPr>
              <w:t>ΤΗΤΗ (ΟΠΩΣ ΑΝΑΓΡΑΦΕΤΑΙ ΣΤΟ ΕΝΤΥΠΟ ΑΔΕΙΑΣ)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ΟΝΟΜΑΤΕΠΩΝΥΜΟ ΟΔΗΓΟΥ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80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122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80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122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2" w:type="dxa"/>
            <w:gridSpan w:val="11"/>
            <w:vAlign w:val="top"/>
          </w:tcPr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</w:p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</w:p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  <w:r>
              <w:rPr>
                <w:rFonts w:cs="Adobe Arabic"/>
                <w:b/>
                <w:sz w:val="24"/>
                <w:lang w:val="el-GR"/>
              </w:rPr>
              <w:t xml:space="preserve">Α2) ΠΙΝΑΚΑΣ ΟΧΗΜΑΤΩΝ ΟΛΙΚΗΣ ΜΙΣΘΩΣΗΣ ΠΟΥ ΑΝΗΚΟΥΝ ΣΕ ΤΡΙΤΟΥΣ </w:t>
            </w:r>
          </w:p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  <w:r>
              <w:rPr>
                <w:rFonts w:cs="Adobe Arabic"/>
                <w:b/>
                <w:sz w:val="24"/>
                <w:lang w:val="el-GR"/>
              </w:rPr>
              <w:t>ΚΑΙ ΠΑΡΑΧΩΡΟΥΝΤΑΙ ΜΕ ΟΛΙΚΗ ΜΙΣΘΩΣΗ (100% ΠΑΡΑΧΩΡΗΣΗ ΚΑΙ ΑΠΟΚΛΕΙΣΤΙΚΗ ΔΙΑΧΕΙΡΙΣΗ) ΣΤΟΝ ΟΙΚ.ΦΟΡΕΑ /ΔΙΑΘΕΣΙΜΕΣ ΘΕΣΕΙΣ/ΟΝΟΜΑΤΕΠΩΝΥΜΟ ΟΔΗΓΟΥ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ΠΕΡΙΓΡΑΦΗ ΔΡΟΜΟ-ΛΟΓΙΟΥ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ΑΡΙΘΜΟΣ ΜΕΤΑΦΕΡΟ-ΜΕΝΩΝ ΜΑΘΗΤΩΝ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ΕΙΔΟΣ ΟΧΗΜΑΤΟΣ</w:t>
            </w:r>
          </w:p>
        </w:tc>
        <w:tc>
          <w:tcPr>
            <w:tcW w:w="868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ΟΧΗΜΑ (ΑΡ. ΚΥΚΛΟ-ΦΟΡΙΑΣ)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ΟΧΗΜΑ (ΔΙΑΘΕΣΙΜΕΣ ΘΕΣΕΙΣ ΒΑΣΕΙ ΑΔΕΙΑΣ)</w:t>
            </w:r>
          </w:p>
        </w:tc>
        <w:tc>
          <w:tcPr>
            <w:tcW w:w="1393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ΣΤΟΙΧΕΙΑ ΙΔΙΟΚΤΗΤΗ (ΟΠΩΣ ΑΝΑΓΡΑΦΕΤΑΙ ΣΤΟ ΕΝΤΥΠΟ ΑΔΕΙΑΣ)</w:t>
            </w:r>
          </w:p>
        </w:tc>
        <w:tc>
          <w:tcPr>
            <w:tcW w:w="2407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ΟΝΟΜΑΤΕΠΩΝΥΜΟ ΟΔΗΓΟΥ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868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393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2407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868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393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2407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</w:tr>
    </w:tbl>
    <w:p>
      <w:pPr>
        <w:ind w:right="124"/>
        <w:rPr>
          <w:rFonts w:cs="Adobe Arabic"/>
          <w:sz w:val="20"/>
          <w:szCs w:val="20"/>
          <w:lang w:val="en-US"/>
        </w:rPr>
      </w:pPr>
    </w:p>
    <w:p>
      <w:r>
        <w:br w:type="page"/>
      </w:r>
    </w:p>
    <w:tbl>
      <w:tblPr>
        <w:tblStyle w:val="8"/>
        <w:tblW w:w="96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n-US"/>
              </w:rPr>
            </w:pPr>
          </w:p>
          <w:tbl>
            <w:tblPr>
              <w:tblStyle w:val="8"/>
              <w:tblW w:w="9378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0"/>
              <w:gridCol w:w="980"/>
              <w:gridCol w:w="1039"/>
              <w:gridCol w:w="992"/>
              <w:gridCol w:w="838"/>
              <w:gridCol w:w="1101"/>
              <w:gridCol w:w="1547"/>
              <w:gridCol w:w="212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78" w:type="dxa"/>
                  <w:gridSpan w:val="8"/>
                  <w:vAlign w:val="top"/>
                </w:tcPr>
                <w:p>
                  <w:pPr>
                    <w:jc w:val="center"/>
                    <w:rPr>
                      <w:rFonts w:cs="Adobe Arabic"/>
                      <w:b/>
                      <w:sz w:val="24"/>
                      <w:lang w:val="el-GR"/>
                    </w:rPr>
                  </w:pPr>
                  <w:r>
                    <w:rPr>
                      <w:rFonts w:cs="Adobe Arabic"/>
                      <w:b/>
                      <w:sz w:val="24"/>
                      <w:lang w:val="el-GR"/>
                    </w:rPr>
                    <w:t>Β) ΠΙΝΑΚΑΣ ΟΧΗΜΑΤΩΝ  ΠΟΥ ΑΝΗΚΟΥΝ ΣΕ ΤΡΙΤΟΥΣ /ΥΠΕΡΓΟΛΑΒΟΥΣ</w:t>
                  </w:r>
                </w:p>
                <w:p>
                  <w:pPr>
                    <w:jc w:val="center"/>
                    <w:rPr>
                      <w:rFonts w:cs="Adobe Arabic"/>
                      <w:b/>
                      <w:sz w:val="24"/>
                      <w:lang w:val="el-GR"/>
                    </w:rPr>
                  </w:pPr>
                  <w:r>
                    <w:rPr>
                      <w:rFonts w:cs="Adobe Arabic"/>
                      <w:b/>
                      <w:sz w:val="24"/>
                      <w:lang w:val="el-GR"/>
                    </w:rPr>
                    <w:t xml:space="preserve">ΚΑΙ ΠΑΡΑΧΩΡΟΥΝΤΑΙ [ΜΟΝΟ ΓΙΑ ΤΗ ΣΥΓΚΕΚΡΙΜΕΝΗ ΜΕΤΑΦΟΡΑ/ </w:t>
                  </w:r>
                  <w:r>
                    <w:rPr>
                      <w:rFonts w:cs="Adobe Arabic"/>
                      <w:b/>
                      <w:sz w:val="28"/>
                      <w:szCs w:val="28"/>
                      <w:lang w:val="el-GR"/>
                    </w:rPr>
                    <w:t>ΥΠΕΡΓΟΛΑΒΙΑ</w:t>
                  </w:r>
                  <w:r>
                    <w:rPr>
                      <w:rFonts w:cs="Adobe Arabic"/>
                      <w:b/>
                      <w:sz w:val="24"/>
                      <w:lang w:val="el-GR"/>
                    </w:rPr>
                    <w:t>] ΣΤΟΝ ΟΙΚ.ΦΟΡΕΑ /ΔΙΑΘΕΣΙΜΕΣ ΘΕΣΕΙΣ/ΟΝΟΜΑΤΕΠΩΝΥΜΟ ΟΔΗΓΟΥ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0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ΤΜΗΜΑ</w:t>
                  </w:r>
                </w:p>
              </w:tc>
              <w:tc>
                <w:tcPr>
                  <w:tcW w:w="980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ΠΕΡΙΓΡΑΦΗ ΔΡΟΜΟ-ΛΟΓΙΟΥ</w:t>
                  </w:r>
                </w:p>
              </w:tc>
              <w:tc>
                <w:tcPr>
                  <w:tcW w:w="1039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ΑΡΙΘΜΟΣ ΜΕΤΑΦΕΡΟ-ΜΕΝΩΝ ΜΑΘΗΤΩΝ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838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ΟΧΗΜΑ (ΑΡ. ΚΥΚΛΟ-ΦΟΡΙΑΣ)</w:t>
                  </w:r>
                </w:p>
              </w:tc>
              <w:tc>
                <w:tcPr>
                  <w:tcW w:w="1101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ΟΧΗΜΑ (ΔΙΑΘΕΣΙΜΕΣ ΘΕΣΕΙΣ ΒΑΣΕΙ ΑΔΕΙΑΣ)</w:t>
                  </w:r>
                </w:p>
              </w:tc>
              <w:tc>
                <w:tcPr>
                  <w:tcW w:w="1547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ΣΤΟΙΧΕΙΑ ΙΔΙΟΚΤΗΤΗ (ΟΠΩΣ ΑΝΑΓΡΑΦΕΤΑΙ ΣΤΟ ΕΝΤΥΠΟ ΑΔΕΙΑΣ)</w:t>
                  </w:r>
                </w:p>
              </w:tc>
              <w:tc>
                <w:tcPr>
                  <w:tcW w:w="2121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ΟΝΟΜΑΤΕΠΩΝΥΜΟ ΟΔΗΓΟΥ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0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980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03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83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101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547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121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0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980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03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83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101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547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121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</w:tr>
          </w:tbl>
          <w:p>
            <w:pPr>
              <w:rPr>
                <w:rFonts w:cs="Adobe Arabic"/>
                <w:b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ind w:right="124"/>
              <w:rPr>
                <w:sz w:val="20"/>
                <w:szCs w:val="20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vi)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>ΑΝΑΛΥΤΙΚΟ ΠΛΑΝΟ ΕΚΤΕΛΕΣΗΣ ΔΡΟΜΟΛΟΓΙΩΝ (ΑΦΟΡΑ ΟΙΚΟΝΟΜΙΚΟΥΣ ΦΟΡΕΙΣ ΠΟΥ ΥΠΟΒΑΛΛΟΥΝ ΠΡΟΣΦΟΡΑ ΣΕ ΑΝΩ ΤΟΥ ΕΝΟΣ ΤΜΗΜΑΤΟΣ ΠΧ 2 ΤΜΗΜΑΤΑ</w:t>
            </w:r>
            <w:r>
              <w:rPr>
                <w:sz w:val="20"/>
                <w:szCs w:val="20"/>
                <w:lang w:val="el-GR"/>
              </w:rPr>
              <w:t xml:space="preserve">: Επειδή συμμετέχω με προσφορά σε αριθμό τμημάτων άνω του ενός (συγκεκριμένα __ τμήματα),σας υποβάλλω ΑΝΑΛΥΤΙΚΟ ΠΛΑΝΟ ΕΚΤΕΛΕΣΗΣ ΔΡΟΜΟΛΟΓΙΩΝ  με τους εκτιμώμενους χρόνους εκτέλεσης δρομολογίων προκειμένου να διασφαλιστεί η έγκαιρη και ασφαλής μετ αφορά μαθητών. </w:t>
            </w:r>
          </w:p>
          <w:tbl>
            <w:tblPr>
              <w:tblStyle w:val="8"/>
              <w:tblW w:w="9378" w:type="dxa"/>
              <w:jc w:val="center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5"/>
              <w:gridCol w:w="2069"/>
              <w:gridCol w:w="2648"/>
              <w:gridCol w:w="2646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378" w:type="dxa"/>
                  <w:gridSpan w:val="4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  <w:lang w:val="el-GR"/>
                    </w:rPr>
                  </w:pPr>
                  <w:r>
                    <w:rPr>
                      <w:b/>
                      <w:sz w:val="20"/>
                      <w:lang w:val="el-GR"/>
                    </w:rPr>
                    <w:t xml:space="preserve"> ΑΝΑΛΥΤΙΚΟ ΠΛΑΝΟ ΕΚΤΕΛΕΣΗΣ ΔΡΟΜΟΛΟΓΙΩΝ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378" w:type="dxa"/>
                  <w:gridSpan w:val="4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  <w:lang w:val="el-GR"/>
                    </w:rPr>
                  </w:pPr>
                  <w:r>
                    <w:rPr>
                      <w:b/>
                      <w:sz w:val="20"/>
                      <w:lang w:val="el-GR"/>
                    </w:rPr>
                    <w:t>ΕΝΑΡΞΗ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ΔΡΟΜΟΛΟΓΙΟ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ΕΝΑΡΞΗ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ΑΦΙΞΗ ΣΕ ΣΧ. ΜΟΝΑΔΑ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ΧΡΟΝΟΣ ΜΕΤΑΒΑΣΗΣ ΣΕ ΕΠΟΜΕΝΟ ΣΗΜΕΙΟ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5" w:hRule="atLeast"/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1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ΒΑΣΕΙ ΧΡΟΝΟΥ ΕΝΑΡΞΗΣ</w:t>
                  </w:r>
                </w:p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(ΤΜΗΜΑ ____)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ΧΡΟΝΟΣ ΜΕΤΑΒΑΣΗΣ ΣΤΟ 2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ΣΗΜΕΙΟ ΕΝΑΡΞΗΣ ΕΠΙΒΙΒΑΣΗΣ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2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ΒΑΣΕΙ ΧΡΟΝΟΥ ΕΝΑΡΞΗΣ</w:t>
                  </w:r>
                </w:p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(ΤΜΗΜΑ ____)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378" w:type="dxa"/>
                  <w:gridSpan w:val="4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  <w:lang w:val="el-GR"/>
                    </w:rPr>
                  </w:pPr>
                  <w:r>
                    <w:rPr>
                      <w:b/>
                      <w:sz w:val="20"/>
                      <w:lang w:val="el-GR"/>
                    </w:rPr>
                    <w:t xml:space="preserve"> ΕΠΙΣΤΡΟΦΗ ( ΓΙΑ ΔΙΠΛΟ ΔΡΟΜΟΛΟΓΙΟ)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ΔΡΟΜΟΛΟΓΙΟ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ΕΝΑΡΞΗ  ΑΠΟ ΣΧ. ΜΟΝΑΔΑ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ΑΦΙΞΗ ΣΕ ΤΕΡΜΑΤΙΣΜΟ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ΧΡΟΝΟΣ ΜΕΤΑΒΑΣΗΣ ΣΕ ΕΠΟΜΕΝΟ ΣΗΜΕΙΟ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5" w:hRule="atLeast"/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1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ΒΑΣΕΙ ΧΡΟΝΟΥ ΕΝΑΡΞΗΣ</w:t>
                  </w:r>
                </w:p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(ΤΜΗΜΑ ____)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ΧΡΟΝΟΣ ΜΕΤΑΒΑΣΗΣ ΣΤΟ 2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ΣΗΜΕΙΟ ΕΝΑΡΞΗΣ ΕΠΙΒΙΒΑΣΗΣ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2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ΒΑΣΕΙ ΧΡΟΝΟΥ ΕΝΑΡΞΗΣ</w:t>
                  </w:r>
                </w:p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(ΤΜΗΜΑ ____)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</w:tr>
          </w:tbl>
          <w:p>
            <w:pPr>
              <w:ind w:right="124"/>
              <w:rPr>
                <w:rFonts w:cs="Adobe Arabic"/>
                <w:sz w:val="16"/>
                <w:szCs w:val="16"/>
                <w:lang w:val="el-GR"/>
              </w:rPr>
            </w:pPr>
          </w:p>
          <w:tbl>
            <w:tblPr>
              <w:tblStyle w:val="8"/>
              <w:tblW w:w="9378" w:type="dxa"/>
              <w:jc w:val="center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7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378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rFonts w:cs="Adobe Arabic"/>
                      <w:b/>
                      <w:sz w:val="20"/>
                      <w:szCs w:val="20"/>
                      <w:lang w:val="el-GR"/>
                    </w:rPr>
                    <w:t xml:space="preserve">Με το παραπάνω πρόγραμμα δηλώνεται ρητά </w:t>
                  </w:r>
                </w:p>
                <w:p>
                  <w:pPr>
                    <w:jc w:val="center"/>
                    <w:rPr>
                      <w:rFonts w:cs="Adobe Arabic"/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rFonts w:cs="Adobe Arabic"/>
                      <w:b/>
                      <w:sz w:val="20"/>
                      <w:szCs w:val="20"/>
                      <w:lang w:val="el-GR"/>
                    </w:rPr>
                    <w:t>ότι διασφαλίζεται η έγκαιρη και ασφαλής μεταφορά μαθητών.</w:t>
                  </w:r>
                </w:p>
              </w:tc>
            </w:tr>
          </w:tbl>
          <w:p>
            <w:pPr>
              <w:ind w:right="124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ind w:right="124"/>
              <w:jc w:val="right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(4)</w:t>
            </w:r>
          </w:p>
        </w:tc>
      </w:tr>
    </w:tbl>
    <w:p>
      <w:pPr>
        <w:pStyle w:val="6"/>
        <w:ind w:right="484"/>
        <w:jc w:val="right"/>
        <w:rPr>
          <w:rFonts w:ascii="Calibri" w:hAnsi="Calibri"/>
          <w:sz w:val="16"/>
          <w:szCs w:val="16"/>
          <w:lang w:val="el-GR"/>
        </w:rPr>
      </w:pPr>
      <w:r>
        <w:rPr>
          <w:rFonts w:ascii="Calibri" w:hAnsi="Calibri"/>
          <w:sz w:val="16"/>
          <w:szCs w:val="16"/>
          <w:lang w:val="el-GR"/>
        </w:rPr>
        <w:t>Ημερομηνία:   ……</w:t>
      </w:r>
    </w:p>
    <w:p>
      <w:pPr>
        <w:pStyle w:val="6"/>
        <w:ind w:right="484"/>
        <w:jc w:val="right"/>
        <w:rPr>
          <w:rFonts w:ascii="Calibri" w:hAnsi="Calibri"/>
          <w:sz w:val="16"/>
          <w:szCs w:val="16"/>
          <w:lang w:val="el-GR"/>
        </w:rPr>
      </w:pPr>
      <w:r>
        <w:rPr>
          <w:rFonts w:ascii="Calibri" w:hAnsi="Calibri"/>
          <w:sz w:val="16"/>
          <w:szCs w:val="16"/>
          <w:lang w:val="el-GR"/>
        </w:rPr>
        <w:t>Ο – Η Δηλ.</w:t>
      </w:r>
    </w:p>
    <w:p>
      <w:pPr>
        <w:pStyle w:val="6"/>
        <w:ind w:right="484"/>
        <w:jc w:val="right"/>
        <w:rPr>
          <w:sz w:val="16"/>
          <w:lang w:val="el-GR"/>
        </w:rPr>
      </w:pPr>
      <w:r>
        <w:rPr>
          <w:sz w:val="16"/>
          <w:lang w:val="el-GR"/>
        </w:rPr>
        <w:t>(Υπογραφή)</w:t>
      </w:r>
    </w:p>
    <w:p>
      <w:pPr>
        <w:pStyle w:val="6"/>
        <w:spacing w:after="0"/>
        <w:ind w:firstLine="0"/>
        <w:jc w:val="left"/>
        <w:rPr>
          <w:rFonts w:ascii="Arial Narrow" w:hAnsi="Arial Narrow"/>
          <w:sz w:val="12"/>
          <w:szCs w:val="12"/>
          <w:lang w:val="el-GR"/>
        </w:rPr>
      </w:pPr>
      <w:r>
        <w:rPr>
          <w:rFonts w:ascii="Arial Narrow" w:hAnsi="Arial Narrow"/>
          <w:sz w:val="12"/>
          <w:szCs w:val="12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6"/>
        <w:spacing w:after="0"/>
        <w:ind w:firstLine="0"/>
        <w:jc w:val="left"/>
        <w:rPr>
          <w:rFonts w:ascii="Arial Narrow" w:hAnsi="Arial Narrow"/>
          <w:sz w:val="12"/>
          <w:szCs w:val="12"/>
          <w:lang w:val="el-GR"/>
        </w:rPr>
      </w:pPr>
      <w:r>
        <w:rPr>
          <w:rFonts w:ascii="Arial Narrow" w:hAnsi="Arial Narrow"/>
          <w:sz w:val="12"/>
          <w:szCs w:val="12"/>
          <w:lang w:val="el-GR"/>
        </w:rPr>
        <w:t xml:space="preserve">(2) Αναγράφεται ολογράφως. </w:t>
      </w:r>
    </w:p>
    <w:p>
      <w:pPr>
        <w:pStyle w:val="6"/>
        <w:spacing w:after="0"/>
        <w:ind w:firstLine="0"/>
        <w:jc w:val="left"/>
        <w:rPr>
          <w:rFonts w:ascii="Arial Narrow" w:hAnsi="Arial Narrow"/>
          <w:sz w:val="12"/>
          <w:szCs w:val="12"/>
          <w:lang w:val="el-GR"/>
        </w:rPr>
      </w:pPr>
      <w:r>
        <w:rPr>
          <w:rFonts w:ascii="Arial Narrow" w:hAnsi="Arial Narrow"/>
          <w:sz w:val="12"/>
          <w:szCs w:val="12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6"/>
        <w:spacing w:after="0"/>
        <w:ind w:firstLine="0"/>
        <w:jc w:val="left"/>
        <w:rPr>
          <w:rFonts w:ascii="Arial Narrow" w:hAnsi="Arial Narrow"/>
          <w:sz w:val="12"/>
          <w:szCs w:val="12"/>
          <w:lang w:val="el-GR"/>
        </w:rPr>
      </w:pPr>
      <w:r>
        <w:rPr>
          <w:rFonts w:ascii="Arial Narrow" w:hAnsi="Arial Narrow"/>
          <w:sz w:val="12"/>
          <w:szCs w:val="12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Arabic">
    <w:altName w:val="Courier New"/>
    <w:panose1 w:val="00000000000000000000"/>
    <w:charset w:val="00"/>
    <w:family w:val="roman"/>
    <w:pitch w:val="default"/>
    <w:sig w:usb0="00000000" w:usb1="00000000" w:usb2="00000008" w:usb3="00000000" w:csb0="00000041" w:csb1="00000000"/>
  </w:font>
  <w:font w:name="Arial Narrow">
    <w:altName w:val="Arial"/>
    <w:panose1 w:val="020B0606020202030204"/>
    <w:charset w:val="A1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A1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249"/>
    <w:multiLevelType w:val="multilevel"/>
    <w:tmpl w:val="38111249"/>
    <w:lvl w:ilvl="0" w:tentative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26B35"/>
    <w:rsid w:val="424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Times New Roman" w:cs="Calibri"/>
      <w:sz w:val="22"/>
      <w:szCs w:val="24"/>
      <w:lang w:val="en-GB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pageBreakBefore/>
      <w:numPr>
        <w:ilvl w:val="0"/>
        <w:numId w:val="0"/>
      </w:numPr>
      <w:pBdr>
        <w:top w:val="none" w:color="000000" w:sz="0" w:space="0"/>
        <w:left w:val="none" w:color="000000" w:sz="0" w:space="0"/>
        <w:bottom w:val="single" w:color="000080" w:sz="18" w:space="1"/>
        <w:right w:val="none" w:color="000000" w:sz="0" w:space="0"/>
      </w:pBdr>
      <w:spacing w:before="320" w:after="160"/>
      <w:ind w:left="0" w:right="0" w:firstLine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4">
    <w:name w:val="heading 3"/>
    <w:basedOn w:val="1"/>
    <w:next w:val="1"/>
    <w:qFormat/>
    <w:uiPriority w:val="0"/>
    <w:pPr>
      <w:keepNext/>
      <w:numPr>
        <w:ilvl w:val="0"/>
        <w:numId w:val="0"/>
      </w:numPr>
      <w:spacing w:before="240" w:after="60"/>
      <w:ind w:left="567" w:right="0" w:hanging="567"/>
    </w:pPr>
    <w:rPr>
      <w:rFonts w:ascii="Arial" w:hAnsi="Arial" w:eastAsia="Times New Roman" w:cs="Times New Roman"/>
      <w:b/>
      <w:bCs/>
      <w:szCs w:val="2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rPr>
      <w:sz w:val="20"/>
      <w:szCs w:val="20"/>
    </w:rPr>
  </w:style>
  <w:style w:type="paragraph" w:styleId="5">
    <w:name w:val="Body Text 2"/>
    <w:basedOn w:val="1"/>
    <w:unhideWhenUsed/>
    <w:uiPriority w:val="99"/>
    <w:pPr>
      <w:spacing w:line="480" w:lineRule="auto"/>
    </w:pPr>
    <w:rPr>
      <w:rFonts w:eastAsia="Times New Roman"/>
    </w:rPr>
  </w:style>
  <w:style w:type="paragraph" w:styleId="6">
    <w:name w:val="Body Text Indent"/>
    <w:basedOn w:val="1"/>
    <w:uiPriority w:val="0"/>
    <w:pPr>
      <w:ind w:left="0" w:right="0" w:firstLine="1134"/>
      <w:jc w:val="both"/>
    </w:pPr>
    <w:rPr>
      <w:rFonts w:ascii="Arial" w:hAnsi="Arial" w:cs="Arial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2020-07-15T11:11:00Z</dcterms:created>
  <dc:creator>User</dc:creator>
  <cp:lastModifiedBy>User</cp:lastModifiedBy>
  <dcterms:modified xsi:type="dcterms:W3CDTF">2020-07-15T11:12:18Z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